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3A9A223A" w:rsidR="00027FFC" w:rsidRDefault="00027FFC" w:rsidP="00027FFC">
      <w:pPr>
        <w:rPr>
          <w:rFonts w:ascii="Cambria" w:hAnsi="Cambria"/>
          <w:b/>
          <w:i/>
          <w:w w:val="105"/>
          <w:sz w:val="20"/>
          <w:szCs w:val="20"/>
        </w:rPr>
      </w:pPr>
      <w:bookmarkStart w:id="0" w:name="_GoBack"/>
      <w:bookmarkEnd w:id="0"/>
    </w:p>
    <w:p w14:paraId="69E28F25" w14:textId="77777777" w:rsidR="003148BA" w:rsidRPr="00027FFC" w:rsidRDefault="00406FD6" w:rsidP="00406FD6">
      <w:pPr>
        <w:jc w:val="center"/>
        <w:rPr>
          <w:rFonts w:ascii="Cambria" w:hAnsi="Cambria"/>
          <w:b/>
          <w:i/>
          <w:sz w:val="20"/>
          <w:szCs w:val="20"/>
        </w:rPr>
      </w:pPr>
      <w:r w:rsidRPr="00027FFC">
        <w:rPr>
          <w:rFonts w:ascii="Cambria" w:hAnsi="Cambria"/>
          <w:b/>
          <w:i/>
          <w:w w:val="105"/>
          <w:sz w:val="20"/>
          <w:szCs w:val="20"/>
        </w:rPr>
        <w:t xml:space="preserve">Technická specifikace předmětu plnění </w:t>
      </w:r>
      <w:r w:rsidR="00027FFC" w:rsidRPr="00027FFC">
        <w:rPr>
          <w:rFonts w:ascii="Cambria" w:hAnsi="Cambria"/>
          <w:b/>
          <w:i/>
          <w:w w:val="105"/>
          <w:sz w:val="20"/>
          <w:szCs w:val="20"/>
        </w:rPr>
        <w:t>–</w:t>
      </w:r>
      <w:r w:rsidRPr="00027FFC">
        <w:rPr>
          <w:rFonts w:ascii="Cambria" w:hAnsi="Cambria"/>
          <w:b/>
          <w:i/>
          <w:w w:val="105"/>
          <w:sz w:val="20"/>
          <w:szCs w:val="20"/>
        </w:rPr>
        <w:t xml:space="preserve"> </w:t>
      </w:r>
      <w:r w:rsidR="00027FFC" w:rsidRPr="00027FFC">
        <w:rPr>
          <w:rFonts w:ascii="Cambria" w:hAnsi="Cambria"/>
          <w:b/>
          <w:i/>
          <w:w w:val="105"/>
          <w:sz w:val="20"/>
          <w:szCs w:val="20"/>
        </w:rPr>
        <w:t>technické a provozní požadavky</w:t>
      </w:r>
    </w:p>
    <w:p w14:paraId="0A37501D" w14:textId="77777777" w:rsidR="00406FD6" w:rsidRPr="00027FFC" w:rsidRDefault="00406FD6" w:rsidP="00406FD6">
      <w:pPr>
        <w:rPr>
          <w:rFonts w:ascii="Cambria" w:hAnsi="Cambria" w:cs="Times New Roman"/>
          <w:i/>
          <w:sz w:val="20"/>
          <w:szCs w:val="20"/>
        </w:rPr>
      </w:pPr>
    </w:p>
    <w:p w14:paraId="3230905A" w14:textId="77777777" w:rsidR="00027FFC" w:rsidRPr="00027FFC" w:rsidRDefault="6A874F4C" w:rsidP="6A874F4C">
      <w:pPr>
        <w:ind w:firstLine="576"/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Technické podmínky plnění zakázky ve smyslu zadávací dokumentace jsou podmínky, které jsou splněny naplněním dále uvedených technických požadavků na předmětný systém.</w:t>
      </w:r>
    </w:p>
    <w:p w14:paraId="796C48A4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bookmarkStart w:id="1" w:name="_Toc485304932"/>
      <w:r w:rsidRPr="6A874F4C">
        <w:rPr>
          <w:rFonts w:ascii="Cambria" w:hAnsi="Cambria"/>
          <w:i/>
          <w:iCs/>
          <w:color w:val="auto"/>
          <w:sz w:val="20"/>
          <w:szCs w:val="20"/>
        </w:rPr>
        <w:t>Kvantitativní požadavky</w:t>
      </w:r>
      <w:bookmarkEnd w:id="1"/>
    </w:p>
    <w:p w14:paraId="73CA8217" w14:textId="77777777" w:rsidR="00027FFC" w:rsidRPr="00027FFC" w:rsidRDefault="6A874F4C" w:rsidP="6A874F4C">
      <w:pPr>
        <w:pStyle w:val="Nadpis3"/>
        <w:numPr>
          <w:ilvl w:val="2"/>
          <w:numId w:val="0"/>
        </w:numPr>
        <w:rPr>
          <w:rFonts w:ascii="Cambria" w:hAnsi="Cambria"/>
          <w:i/>
          <w:iCs/>
          <w:sz w:val="20"/>
        </w:rPr>
      </w:pPr>
      <w:bookmarkStart w:id="2" w:name="_Toc485304933"/>
      <w:r w:rsidRPr="6A874F4C">
        <w:rPr>
          <w:rFonts w:ascii="Cambria" w:hAnsi="Cambria"/>
          <w:i/>
          <w:iCs/>
          <w:sz w:val="20"/>
        </w:rPr>
        <w:t>Rozsah užití software</w:t>
      </w:r>
      <w:bookmarkEnd w:id="2"/>
    </w:p>
    <w:p w14:paraId="37BCF9F8" w14:textId="1ADB5DFE" w:rsidR="00027FFC" w:rsidRPr="00027FFC" w:rsidRDefault="43AE206D" w:rsidP="43AE206D">
      <w:pPr>
        <w:ind w:firstLine="708"/>
        <w:rPr>
          <w:rFonts w:ascii="Cambria" w:hAnsi="Cambria"/>
          <w:i/>
          <w:iCs/>
          <w:sz w:val="20"/>
          <w:szCs w:val="20"/>
        </w:rPr>
      </w:pPr>
      <w:r w:rsidRPr="43AE206D">
        <w:rPr>
          <w:rFonts w:ascii="Cambria" w:hAnsi="Cambria"/>
          <w:i/>
          <w:iCs/>
          <w:sz w:val="20"/>
          <w:szCs w:val="20"/>
        </w:rPr>
        <w:t>Systém bude užíván v následujícím rozsahu a počtu současně pracujících příslušných uživatelů:</w:t>
      </w:r>
    </w:p>
    <w:p w14:paraId="425F1615" w14:textId="3E73268E" w:rsidR="00027FFC" w:rsidRPr="00027FFC" w:rsidRDefault="43AE206D" w:rsidP="43AE206D">
      <w:pPr>
        <w:rPr>
          <w:rFonts w:ascii="Cambria" w:hAnsi="Cambria"/>
          <w:i/>
          <w:iCs/>
          <w:sz w:val="20"/>
          <w:szCs w:val="20"/>
        </w:rPr>
      </w:pPr>
      <w:r w:rsidRPr="43AE206D">
        <w:rPr>
          <w:rFonts w:ascii="Cambria" w:hAnsi="Cambria"/>
          <w:i/>
          <w:iCs/>
          <w:sz w:val="20"/>
          <w:szCs w:val="20"/>
        </w:rPr>
        <w:t>Počet zaměstnaneckých licencí (běžný uživatel): 2000</w:t>
      </w:r>
    </w:p>
    <w:p w14:paraId="2171E3D5" w14:textId="77777777" w:rsidR="00027FFC" w:rsidRPr="00027FFC" w:rsidRDefault="6A874F4C" w:rsidP="6A874F4C">
      <w:pPr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Počet licencí klíčových uživatelů (účetní, personalisté): 100</w:t>
      </w:r>
    </w:p>
    <w:p w14:paraId="23076159" w14:textId="0068A664" w:rsidR="00027FFC" w:rsidRPr="00027FFC" w:rsidRDefault="43AE206D" w:rsidP="43AE206D">
      <w:pPr>
        <w:rPr>
          <w:rFonts w:ascii="Cambria" w:hAnsi="Cambria"/>
          <w:i/>
          <w:iCs/>
          <w:sz w:val="20"/>
          <w:szCs w:val="20"/>
        </w:rPr>
      </w:pPr>
      <w:r w:rsidRPr="43AE206D">
        <w:rPr>
          <w:rFonts w:ascii="Cambria" w:hAnsi="Cambria"/>
          <w:i/>
          <w:iCs/>
          <w:sz w:val="20"/>
          <w:szCs w:val="20"/>
        </w:rPr>
        <w:t>Počet administrátorských licencí (IT specialista – konzultant s přístupem do databáze): 5</w:t>
      </w:r>
    </w:p>
    <w:p w14:paraId="08E517C2" w14:textId="3B98217E" w:rsidR="00027FFC" w:rsidRPr="00860763" w:rsidRDefault="001572EB" w:rsidP="6A874F4C">
      <w:pPr>
        <w:rPr>
          <w:rFonts w:ascii="Cambria" w:hAnsi="Cambria"/>
          <w:i/>
          <w:iCs/>
          <w:color w:val="FF0000"/>
          <w:sz w:val="20"/>
          <w:szCs w:val="20"/>
        </w:rPr>
      </w:pPr>
      <w:r>
        <w:rPr>
          <w:rFonts w:ascii="Cambria" w:hAnsi="Cambria"/>
          <w:i/>
          <w:iCs/>
          <w:color w:val="FF0000"/>
          <w:sz w:val="20"/>
          <w:szCs w:val="20"/>
        </w:rPr>
        <w:t xml:space="preserve">Dodavatel je povinen </w:t>
      </w:r>
      <w:r w:rsidR="6A874F4C" w:rsidRPr="00860763">
        <w:rPr>
          <w:rFonts w:ascii="Cambria" w:hAnsi="Cambria"/>
          <w:i/>
          <w:iCs/>
          <w:color w:val="FF0000"/>
          <w:sz w:val="20"/>
          <w:szCs w:val="20"/>
        </w:rPr>
        <w:t>návrh příslušného licenčního modelu a skladby umožňující časově neomezené užití systému v uvedeném rozsahu.</w:t>
      </w:r>
    </w:p>
    <w:p w14:paraId="002A72EE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bookmarkStart w:id="3" w:name="_Toc485304935"/>
      <w:r w:rsidRPr="6A874F4C">
        <w:rPr>
          <w:rFonts w:ascii="Cambria" w:hAnsi="Cambria"/>
          <w:i/>
          <w:iCs/>
          <w:color w:val="auto"/>
          <w:sz w:val="20"/>
          <w:szCs w:val="20"/>
        </w:rPr>
        <w:t>Architektura systému</w:t>
      </w:r>
      <w:bookmarkEnd w:id="3"/>
    </w:p>
    <w:p w14:paraId="291CC4C2" w14:textId="77777777" w:rsidR="00027FFC" w:rsidRPr="00027FFC" w:rsidRDefault="6A874F4C" w:rsidP="6A874F4C">
      <w:pPr>
        <w:spacing w:before="120" w:after="0" w:line="240" w:lineRule="auto"/>
        <w:ind w:firstLine="576"/>
        <w:jc w:val="both"/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Požadujeme splnění následujících charakteristik, vlastností a parametrů architektury systému:</w:t>
      </w:r>
    </w:p>
    <w:p w14:paraId="30DFB279" w14:textId="77777777" w:rsidR="00027FFC" w:rsidRPr="00027FFC" w:rsidRDefault="6A874F4C" w:rsidP="6A874F4C">
      <w:pPr>
        <w:spacing w:before="120" w:after="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Řešení pomocí třívrstvé architektury (klient – aplikační server – databázový server).</w:t>
      </w:r>
    </w:p>
    <w:p w14:paraId="5818CC25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bookmarkStart w:id="4" w:name="_Toc485304936"/>
      <w:r w:rsidRPr="6A874F4C">
        <w:rPr>
          <w:rFonts w:ascii="Cambria" w:hAnsi="Cambria"/>
          <w:i/>
          <w:iCs/>
          <w:color w:val="auto"/>
          <w:sz w:val="20"/>
          <w:szCs w:val="20"/>
        </w:rPr>
        <w:lastRenderedPageBreak/>
        <w:t>Bezpečnost</w:t>
      </w:r>
      <w:bookmarkEnd w:id="4"/>
    </w:p>
    <w:p w14:paraId="0F78A288" w14:textId="77777777" w:rsidR="00027FFC" w:rsidRPr="00027FFC" w:rsidRDefault="6A874F4C" w:rsidP="6A874F4C">
      <w:pPr>
        <w:ind w:firstLine="360"/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Požadujeme splnění následujících charakteristik, vlastností a parametrů bezpečnosti systému. Komunikace mezi všemi komponentami musí být šifrována šifrovacím algoritmem, který je obecně považován za bezpečný, důvěryhodný a není znám případ jeho prolomení.</w:t>
      </w:r>
    </w:p>
    <w:p w14:paraId="2F2E48B7" w14:textId="4CA999D5" w:rsidR="00027FFC" w:rsidRPr="00027FFC" w:rsidRDefault="6A874F4C" w:rsidP="6A874F4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Možnost využití centrální nebo lokální autentizace dle výběru a potřeb zadavatele</w:t>
      </w:r>
    </w:p>
    <w:p w14:paraId="3AA2E986" w14:textId="77777777" w:rsidR="00027FFC" w:rsidRPr="00027FFC" w:rsidRDefault="6A874F4C" w:rsidP="6A874F4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Bude-li systém využívat webové rozhraní, bude využita autentizace protokolem SAML2 (IdP zadavatele je Shibboleth 3)</w:t>
      </w:r>
    </w:p>
    <w:p w14:paraId="609DA408" w14:textId="77777777" w:rsidR="00027FFC" w:rsidRPr="00027FFC" w:rsidRDefault="6A874F4C" w:rsidP="6A874F4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Zadavatel požaduje možnost výběru autentizace dle role uživatele</w:t>
      </w:r>
    </w:p>
    <w:p w14:paraId="7CAA02F9" w14:textId="77777777" w:rsidR="00027FFC" w:rsidRPr="00027FFC" w:rsidRDefault="6A874F4C" w:rsidP="6A874F4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Systém přístupových práv s možností delegování na osoby, role či organizační jednotky.</w:t>
      </w:r>
    </w:p>
    <w:p w14:paraId="09D3DA35" w14:textId="77777777" w:rsidR="00027FFC" w:rsidRPr="00027FFC" w:rsidRDefault="6A874F4C" w:rsidP="6A874F4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Systém s možností přidělení oprávnění na jednotlivé agendy a zároveň organizační jednotky</w:t>
      </w:r>
    </w:p>
    <w:p w14:paraId="64532AFE" w14:textId="77777777" w:rsidR="00027FFC" w:rsidRPr="00027FFC" w:rsidRDefault="6A874F4C" w:rsidP="6A874F4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Logování všech operací a možnost jejich prohledávání administrátory</w:t>
      </w:r>
    </w:p>
    <w:p w14:paraId="0F823BD6" w14:textId="77777777" w:rsidR="00027FFC" w:rsidRPr="00027FFC" w:rsidRDefault="6A874F4C" w:rsidP="6A874F4C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Parametry logované operace: čas a datum operace, IP adresa, uživatel, detail operace</w:t>
      </w:r>
    </w:p>
    <w:p w14:paraId="2D507AFC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bookmarkStart w:id="5" w:name="_Toc485304937"/>
      <w:r w:rsidRPr="6A874F4C">
        <w:rPr>
          <w:rFonts w:ascii="Cambria" w:hAnsi="Cambria"/>
          <w:i/>
          <w:iCs/>
          <w:color w:val="auto"/>
          <w:sz w:val="20"/>
          <w:szCs w:val="20"/>
        </w:rPr>
        <w:t>Uvedení požadavků na infrastrukturu</w:t>
      </w:r>
      <w:bookmarkEnd w:id="5"/>
    </w:p>
    <w:p w14:paraId="47684A29" w14:textId="31B63C25" w:rsidR="00027FFC" w:rsidRPr="00027FFC" w:rsidRDefault="00BA1B21" w:rsidP="6A874F4C">
      <w:pPr>
        <w:ind w:firstLine="360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Účastník</w:t>
      </w:r>
      <w:r w:rsidR="6A874F4C" w:rsidRPr="6A874F4C">
        <w:rPr>
          <w:rFonts w:ascii="Cambria" w:hAnsi="Cambria"/>
          <w:i/>
          <w:iCs/>
          <w:sz w:val="20"/>
          <w:szCs w:val="20"/>
        </w:rPr>
        <w:t xml:space="preserve"> ve své nabídce uvede specifikace minimální a doporučené konfigurace hardware, resp. výpočetního výkonu a parametry software potřebného pro bezproblémový provoz systému s uvedením nejméně:</w:t>
      </w:r>
    </w:p>
    <w:p w14:paraId="7505EBE2" w14:textId="77777777" w:rsidR="00027FFC" w:rsidRPr="00027FFC" w:rsidRDefault="6A874F4C" w:rsidP="6A874F4C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počtu a parametrů serverů s určením jejich působnosti,</w:t>
      </w:r>
    </w:p>
    <w:p w14:paraId="6DB8BFFC" w14:textId="77777777" w:rsidR="00027FFC" w:rsidRPr="00027FFC" w:rsidRDefault="6A874F4C" w:rsidP="6A874F4C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počtu jader a výkonu procesorů na každý server,</w:t>
      </w:r>
    </w:p>
    <w:p w14:paraId="1B28A24A" w14:textId="77777777" w:rsidR="00027FFC" w:rsidRPr="00027FFC" w:rsidRDefault="6A874F4C" w:rsidP="6A874F4C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velikosti operační paměti na každý server,</w:t>
      </w:r>
    </w:p>
    <w:p w14:paraId="01B4F82F" w14:textId="77777777" w:rsidR="00027FFC" w:rsidRPr="00027FFC" w:rsidRDefault="6A874F4C" w:rsidP="6A874F4C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operační systém a verze</w:t>
      </w:r>
    </w:p>
    <w:p w14:paraId="1718AC71" w14:textId="77777777" w:rsidR="00027FFC" w:rsidRPr="00027FFC" w:rsidRDefault="6A874F4C" w:rsidP="6A874F4C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velikosti diskových kapacit s rozdělením dle účelu a typ použitých disků</w:t>
      </w:r>
    </w:p>
    <w:p w14:paraId="726E56C1" w14:textId="77777777" w:rsidR="00027FFC" w:rsidRPr="00027FFC" w:rsidRDefault="6A874F4C" w:rsidP="6A874F4C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parametrů uživatelských stanic,</w:t>
      </w:r>
    </w:p>
    <w:p w14:paraId="477D0C27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bookmarkStart w:id="6" w:name="_Toc485304938"/>
      <w:r w:rsidRPr="6A874F4C">
        <w:rPr>
          <w:rFonts w:ascii="Cambria" w:hAnsi="Cambria"/>
          <w:i/>
          <w:iCs/>
          <w:color w:val="auto"/>
          <w:sz w:val="20"/>
          <w:szCs w:val="20"/>
        </w:rPr>
        <w:lastRenderedPageBreak/>
        <w:t>Výpočetní prostředí zadavatele</w:t>
      </w:r>
      <w:bookmarkEnd w:id="6"/>
    </w:p>
    <w:p w14:paraId="0368D8E5" w14:textId="04DEA9BA" w:rsidR="00027FFC" w:rsidRPr="00027FFC" w:rsidRDefault="6A874F4C" w:rsidP="6A874F4C">
      <w:pPr>
        <w:ind w:firstLine="576"/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 xml:space="preserve">Zadavatel požaduje kompatibilitu, nasazení a integraci systému navrženého </w:t>
      </w:r>
      <w:r w:rsidR="00BA1B21">
        <w:rPr>
          <w:rFonts w:ascii="Cambria" w:hAnsi="Cambria"/>
          <w:i/>
          <w:iCs/>
          <w:sz w:val="20"/>
          <w:szCs w:val="20"/>
        </w:rPr>
        <w:t>účastníkem</w:t>
      </w:r>
      <w:r w:rsidRPr="6A874F4C">
        <w:rPr>
          <w:rFonts w:ascii="Cambria" w:hAnsi="Cambria"/>
          <w:i/>
          <w:iCs/>
          <w:sz w:val="20"/>
          <w:szCs w:val="20"/>
        </w:rPr>
        <w:t xml:space="preserve"> do prostředí stávající infrastruktury zadavatele. Veškeré systémy musí být kompatibilní s virtuálním výpočetním prostředím dle uvedených bodů.</w:t>
      </w:r>
    </w:p>
    <w:p w14:paraId="17015BA7" w14:textId="77777777" w:rsidR="00027FFC" w:rsidRPr="00027FFC" w:rsidRDefault="6A874F4C" w:rsidP="6A874F4C">
      <w:pPr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Stávající prostředí zadavatele je charakterizováno následujícím technologickým zázemím:</w:t>
      </w:r>
    </w:p>
    <w:p w14:paraId="1BD0A785" w14:textId="77777777" w:rsidR="00027FFC" w:rsidRPr="00027FFC" w:rsidRDefault="6A874F4C" w:rsidP="6A874F4C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Virtualizační prostředí: VMware vSphere, KVM</w:t>
      </w:r>
    </w:p>
    <w:p w14:paraId="7B7CCCD1" w14:textId="77777777" w:rsidR="00027FFC" w:rsidRPr="00027FFC" w:rsidRDefault="6A874F4C" w:rsidP="6A874F4C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Serverové operační systémy: GNU/LINUX, distribuce CentOS, Windows Server</w:t>
      </w:r>
    </w:p>
    <w:p w14:paraId="58C6093D" w14:textId="77777777" w:rsidR="00027FFC" w:rsidRPr="00027FFC" w:rsidRDefault="6A874F4C" w:rsidP="6A874F4C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Operační systém pracovních stanic: OS MS Windows 10</w:t>
      </w:r>
    </w:p>
    <w:p w14:paraId="1145DB51" w14:textId="77777777" w:rsidR="00027FFC" w:rsidRPr="00027FFC" w:rsidRDefault="6A874F4C" w:rsidP="6A874F4C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Kancelářský balík: MS Office 2016</w:t>
      </w:r>
    </w:p>
    <w:p w14:paraId="68CEA1AC" w14:textId="77777777" w:rsidR="00027FFC" w:rsidRPr="00027FFC" w:rsidRDefault="6A874F4C" w:rsidP="6A874F4C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Webové prohlížeče: Mozilla Firefox a Google Chrome v aktuálních verzích</w:t>
      </w:r>
    </w:p>
    <w:p w14:paraId="16BF4601" w14:textId="77777777" w:rsidR="00027FFC" w:rsidRPr="00027FFC" w:rsidRDefault="6A874F4C" w:rsidP="6A874F4C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Mobilní operační systémy: Android a iOS v aktuálních verzích</w:t>
      </w:r>
    </w:p>
    <w:p w14:paraId="1F38566C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color w:val="auto"/>
          <w:sz w:val="20"/>
          <w:szCs w:val="20"/>
        </w:rPr>
        <w:t>Instalace a správa prostředí</w:t>
      </w:r>
    </w:p>
    <w:p w14:paraId="6E0C8438" w14:textId="60C0A71A" w:rsidR="00027FFC" w:rsidRPr="00027FFC" w:rsidRDefault="43AE206D" w:rsidP="43AE206D">
      <w:pPr>
        <w:ind w:firstLine="576"/>
        <w:rPr>
          <w:rFonts w:ascii="Cambria" w:hAnsi="Cambria"/>
          <w:i/>
          <w:iCs/>
          <w:sz w:val="20"/>
          <w:szCs w:val="20"/>
        </w:rPr>
      </w:pPr>
      <w:r w:rsidRPr="43AE206D">
        <w:rPr>
          <w:rFonts w:ascii="Cambria" w:hAnsi="Cambria"/>
          <w:i/>
          <w:iCs/>
          <w:sz w:val="20"/>
          <w:szCs w:val="20"/>
        </w:rPr>
        <w:t>Instalace serverového prostředí proběhne spuštěním šablon v Ansible dodaných dodavatelem. V případě, že některých komponent nelze provést pomocí Ansible, dodá dodavatel srozumitelný manuál, jak tuto část instalace provést. Pro potřeby monitoringu systému dodá dodavatel zadavateli seznam sledovaných parametrů pro zajištění správného běhu systému a jejich hodnot. Instalaci na straně klienta je podporována pomocí SSCM.</w:t>
      </w:r>
    </w:p>
    <w:p w14:paraId="5DAB6C7B" w14:textId="77777777" w:rsidR="00027FFC" w:rsidRPr="00027FFC" w:rsidRDefault="00027FFC" w:rsidP="6A874F4C">
      <w:pPr>
        <w:rPr>
          <w:rFonts w:ascii="Cambria" w:hAnsi="Cambria"/>
          <w:i/>
          <w:iCs/>
          <w:sz w:val="20"/>
          <w:szCs w:val="20"/>
        </w:rPr>
      </w:pPr>
    </w:p>
    <w:p w14:paraId="55E80676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color w:val="auto"/>
          <w:sz w:val="20"/>
          <w:szCs w:val="20"/>
        </w:rPr>
        <w:t>Zálohování</w:t>
      </w:r>
    </w:p>
    <w:p w14:paraId="0B749B90" w14:textId="77777777" w:rsidR="00027FFC" w:rsidRPr="00027FFC" w:rsidRDefault="6A874F4C" w:rsidP="6A874F4C">
      <w:pPr>
        <w:ind w:firstLine="576"/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Dodavatel sdělí zadavateli minimální a doporučené požadavky na zálohování jednotlivých komponent. Zálohování bude probíhat na straně zadavatele.</w:t>
      </w:r>
    </w:p>
    <w:p w14:paraId="02EB378F" w14:textId="77777777" w:rsidR="00027FFC" w:rsidRPr="00027FFC" w:rsidRDefault="00027FFC" w:rsidP="6A874F4C">
      <w:pPr>
        <w:rPr>
          <w:rFonts w:ascii="Cambria" w:hAnsi="Cambria"/>
          <w:i/>
          <w:iCs/>
          <w:sz w:val="20"/>
          <w:szCs w:val="20"/>
        </w:rPr>
      </w:pPr>
    </w:p>
    <w:p w14:paraId="5DE01181" w14:textId="315B00B8" w:rsidR="00027FFC" w:rsidRPr="00027FFC" w:rsidRDefault="6A874F4C" w:rsidP="2504FF1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color w:val="auto"/>
          <w:sz w:val="20"/>
          <w:szCs w:val="20"/>
        </w:rPr>
        <w:lastRenderedPageBreak/>
        <w:t xml:space="preserve">Požadavky na technickou integraci </w:t>
      </w:r>
    </w:p>
    <w:p w14:paraId="5EFB42A6" w14:textId="5ADFCD43" w:rsidR="00027FFC" w:rsidRDefault="6A874F4C" w:rsidP="6A874F4C">
      <w:pPr>
        <w:ind w:firstLine="576"/>
        <w:rPr>
          <w:rFonts w:ascii="Cambria" w:hAnsi="Cambria"/>
          <w:i/>
          <w:iCs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Požadujeme plnou integraci s následujícími komponentami a systémy prostředí včetně vyjmenovaných forem přenosů dat mezi informačními systémy.</w:t>
      </w:r>
      <w:r w:rsidR="000E0A72">
        <w:rPr>
          <w:rFonts w:ascii="Cambria" w:hAnsi="Cambria"/>
          <w:i/>
          <w:iCs/>
          <w:sz w:val="20"/>
          <w:szCs w:val="20"/>
        </w:rPr>
        <w:t xml:space="preserve"> </w:t>
      </w:r>
      <w:r w:rsidR="000E0A72" w:rsidRPr="000E0A72">
        <w:rPr>
          <w:rFonts w:ascii="Cambria" w:hAnsi="Cambria"/>
          <w:i/>
          <w:iCs/>
          <w:sz w:val="20"/>
          <w:szCs w:val="20"/>
        </w:rPr>
        <w:t>Detailní popis jednotlivých integrací včetně</w:t>
      </w:r>
      <w:r w:rsidR="000E0A72">
        <w:rPr>
          <w:rFonts w:ascii="Cambria" w:hAnsi="Cambria"/>
          <w:i/>
          <w:iCs/>
          <w:sz w:val="20"/>
          <w:szCs w:val="20"/>
        </w:rPr>
        <w:t xml:space="preserve">  vzorků předávaných dat je v příloze 7A.</w:t>
      </w:r>
    </w:p>
    <w:p w14:paraId="6BCF4253" w14:textId="03736AE0" w:rsidR="00C2288F" w:rsidRDefault="00C2288F" w:rsidP="00C2288F">
      <w:pPr>
        <w:ind w:firstLine="576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Typy přenosů:</w:t>
      </w:r>
    </w:p>
    <w:p w14:paraId="7DD7C127" w14:textId="27EB2486" w:rsidR="00C2288F" w:rsidRDefault="00C2288F" w:rsidP="00C2288F">
      <w:pPr>
        <w:pStyle w:val="Odstavecseseznamem"/>
        <w:numPr>
          <w:ilvl w:val="0"/>
          <w:numId w:val="11"/>
        </w:numPr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XML – přenos formou xml souboru a definované struktury</w:t>
      </w:r>
    </w:p>
    <w:p w14:paraId="147DCA3A" w14:textId="2CEEA7A2" w:rsidR="00C2288F" w:rsidRDefault="00C2288F" w:rsidP="00C2288F">
      <w:pPr>
        <w:pStyle w:val="Odstavecseseznamem"/>
        <w:numPr>
          <w:ilvl w:val="0"/>
          <w:numId w:val="11"/>
        </w:numPr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txt -  přenos formou textového souboru nebo CSV</w:t>
      </w:r>
    </w:p>
    <w:p w14:paraId="34BA2F8E" w14:textId="23DC8173" w:rsidR="00C2288F" w:rsidRDefault="00C2288F" w:rsidP="00C2288F">
      <w:pPr>
        <w:pStyle w:val="Odstavecseseznamem"/>
        <w:numPr>
          <w:ilvl w:val="0"/>
          <w:numId w:val="11"/>
        </w:numPr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 xml:space="preserve">WS – </w:t>
      </w:r>
      <w:r w:rsidR="00016D2F">
        <w:rPr>
          <w:rFonts w:ascii="Cambria" w:hAnsi="Cambria"/>
          <w:i/>
          <w:iCs/>
          <w:sz w:val="20"/>
          <w:szCs w:val="20"/>
        </w:rPr>
        <w:t>přenos formou webové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r w:rsidR="00016D2F">
        <w:rPr>
          <w:rFonts w:ascii="Cambria" w:hAnsi="Cambria"/>
          <w:i/>
          <w:iCs/>
          <w:sz w:val="20"/>
          <w:szCs w:val="20"/>
        </w:rPr>
        <w:t>služby</w:t>
      </w:r>
    </w:p>
    <w:p w14:paraId="601E967D" w14:textId="081E943E" w:rsidR="00016D2F" w:rsidRDefault="00016D2F" w:rsidP="00C2288F">
      <w:pPr>
        <w:pStyle w:val="Odstavecseseznamem"/>
        <w:numPr>
          <w:ilvl w:val="0"/>
          <w:numId w:val="11"/>
        </w:numPr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xls – přenos formou formátu MS Excel</w:t>
      </w:r>
    </w:p>
    <w:p w14:paraId="4FB3BA13" w14:textId="77777777" w:rsidR="00C2288F" w:rsidRPr="00C2288F" w:rsidRDefault="00C2288F" w:rsidP="00C2288F">
      <w:pPr>
        <w:ind w:left="576"/>
        <w:rPr>
          <w:rFonts w:ascii="Cambria" w:hAnsi="Cambria"/>
          <w:i/>
          <w:iCs/>
          <w:sz w:val="20"/>
          <w:szCs w:val="20"/>
        </w:rPr>
      </w:pPr>
    </w:p>
    <w:p w14:paraId="5D878C19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UIS (univerzitní informační systém)</w:t>
      </w:r>
    </w:p>
    <w:p w14:paraId="34167FA3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Export z EIS do UIS:</w:t>
      </w:r>
    </w:p>
    <w:p w14:paraId="5E2B60E9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kmenový soubor zaměstnanců – pracovní poměry - xml</w:t>
      </w:r>
    </w:p>
    <w:p w14:paraId="4131BC89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číselníky (zdroje, projekty, SPP, profit centra, střediska, znaky daní, druhy dokladů, kódy mě</w:t>
      </w:r>
      <w:r>
        <w:rPr>
          <w:rFonts w:ascii="Cambria" w:hAnsi="Cambria"/>
          <w:i/>
          <w:iCs/>
          <w:sz w:val="20"/>
          <w:szCs w:val="20"/>
        </w:rPr>
        <w:t>n, účetní klíče, kódy materiálu</w:t>
      </w:r>
      <w:r w:rsidRPr="6A874F4C">
        <w:rPr>
          <w:rFonts w:ascii="Cambria" w:hAnsi="Cambria"/>
          <w:i/>
          <w:iCs/>
          <w:sz w:val="20"/>
          <w:szCs w:val="20"/>
        </w:rPr>
        <w:t>, kódy pracovních úseků, nákladové druhy</w:t>
      </w:r>
      <w:r>
        <w:rPr>
          <w:rFonts w:ascii="Cambria" w:hAnsi="Cambria"/>
          <w:i/>
          <w:iCs/>
          <w:sz w:val="20"/>
          <w:szCs w:val="20"/>
        </w:rPr>
        <w:t>, účty hlavní knihy</w:t>
      </w:r>
      <w:r w:rsidRPr="6A874F4C">
        <w:rPr>
          <w:rFonts w:ascii="Cambria" w:hAnsi="Cambria"/>
          <w:i/>
          <w:iCs/>
          <w:sz w:val="20"/>
          <w:szCs w:val="20"/>
        </w:rPr>
        <w:t>) - xml</w:t>
      </w:r>
    </w:p>
    <w:p w14:paraId="2C1AB135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Import z UIS do EIS:</w:t>
      </w:r>
    </w:p>
    <w:p w14:paraId="170D0524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 xml:space="preserve">Účtování dokladů Obchodního centra UIS, plateb za studium – WS </w:t>
      </w:r>
    </w:p>
    <w:p w14:paraId="698AE31C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Podklady pro účtování pojištění zahraničních cest - txt</w:t>
      </w:r>
    </w:p>
    <w:p w14:paraId="10378962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Pasportizace - místnosti - view  Oracle</w:t>
      </w:r>
    </w:p>
    <w:p w14:paraId="3D9E30C5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E-ZAK (systém veřejných zakázek)</w:t>
      </w:r>
    </w:p>
    <w:p w14:paraId="78C1C9EF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 xml:space="preserve">Import z E-ZAK do EIS: všechny veřejné zakázky (VZ, RD, DNS) - WS </w:t>
      </w:r>
    </w:p>
    <w:p w14:paraId="3D6CC3E5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 xml:space="preserve">Export ze EIS do E-ZAK: plnění zakázek, automatické uzavírání zakázek – WS </w:t>
      </w:r>
    </w:p>
    <w:p w14:paraId="10A3FB97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lastRenderedPageBreak/>
        <w:t>Kontrola existence dodavatelů v EIS, zabezpečení nepřekročení čerpání VZ, čtvrtletní přehledy plnění RD</w:t>
      </w:r>
    </w:p>
    <w:p w14:paraId="7DF789B2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FPMS (facility management)</w:t>
      </w:r>
    </w:p>
    <w:p w14:paraId="1C6A7A90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Import z FPMS do EIS: podklady pro účtování autoprovozu a CCS karet - txt</w:t>
      </w:r>
    </w:p>
    <w:p w14:paraId="3BEC9465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ISKaM (ubytovací a stravovací systém)</w:t>
      </w:r>
    </w:p>
    <w:p w14:paraId="7E05B55D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Import z EIS do ISKaM: docházka – WS</w:t>
      </w:r>
    </w:p>
    <w:p w14:paraId="3C0BA659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Export z ISKaM do EIS – srážky za stravné, stravenky – WS</w:t>
      </w:r>
    </w:p>
    <w:p w14:paraId="25F97E06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Export z ISKaM do EIS – příjemky materiálu SKM, ověřování dodavatele – WS</w:t>
      </w:r>
    </w:p>
    <w:p w14:paraId="6F646FEA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Systémy školních podniků</w:t>
      </w:r>
      <w:r>
        <w:rPr>
          <w:rFonts w:ascii="Cambria" w:hAnsi="Cambria"/>
          <w:i/>
          <w:iCs/>
          <w:sz w:val="20"/>
          <w:szCs w:val="20"/>
        </w:rPr>
        <w:t xml:space="preserve"> (EIS IMES a EIS SEIWIN)</w:t>
      </w:r>
    </w:p>
    <w:p w14:paraId="7B2645A3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import do EIS – hlavní kniha ŠLP a ŠZP - txt</w:t>
      </w:r>
    </w:p>
    <w:p w14:paraId="064A7222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import DPH a KH – sehrávání do jednoho souboru za univerzitu - xml</w:t>
      </w:r>
    </w:p>
    <w:p w14:paraId="710935D3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import souborů pro výkaz Státní pokladny - xlsx</w:t>
      </w:r>
    </w:p>
    <w:p w14:paraId="0962D7B1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Státní registry</w:t>
      </w:r>
    </w:p>
    <w:p w14:paraId="2FF9547A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Přístup k registrům</w:t>
      </w:r>
    </w:p>
    <w:p w14:paraId="0B2AA87C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Insolvenční rejstřík – WS</w:t>
      </w:r>
    </w:p>
    <w:p w14:paraId="7E8E608E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Registr plátců DPH (nespolehliví plátci) - WS</w:t>
      </w:r>
    </w:p>
    <w:p w14:paraId="371B1AAD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ARES – WS</w:t>
      </w:r>
    </w:p>
    <w:p w14:paraId="25DB38B0" w14:textId="77777777" w:rsidR="000E0A72" w:rsidRPr="00027FFC" w:rsidRDefault="000E0A72" w:rsidP="000E0A72">
      <w:pPr>
        <w:pStyle w:val="Odstavecseseznamem"/>
        <w:numPr>
          <w:ilvl w:val="2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ČNB – kurzový lístek - txt</w:t>
      </w:r>
    </w:p>
    <w:p w14:paraId="661A899B" w14:textId="77777777" w:rsidR="000E0A72" w:rsidRPr="00027FFC" w:rsidRDefault="000E0A72" w:rsidP="000E0A72">
      <w:pPr>
        <w:pStyle w:val="Odstavecseseznamem"/>
        <w:numPr>
          <w:ilvl w:val="1"/>
          <w:numId w:val="2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Výstupy pro Finanční správu, Státní pokladnu, ČSSZ, zdravotní pojišťovny, MF, MPSV, MŠMT</w:t>
      </w:r>
    </w:p>
    <w:p w14:paraId="231DFF10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 xml:space="preserve">Profi banka KB – nahrávání výpisů </w:t>
      </w:r>
    </w:p>
    <w:p w14:paraId="50CED709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Money S5 – z Money S5 do EIS přenos pohybů ve skladech, prodejek vydaných, faktur vydaných</w:t>
      </w:r>
    </w:p>
    <w:p w14:paraId="2A1C6663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Edenred (elektronické stravenky) - export z EIS, dobíjení stravenkových karet - xls</w:t>
      </w:r>
    </w:p>
    <w:p w14:paraId="1E90AFF2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Multisport – import do EIS aktivních karet, kontrola nároků a zaúčtování do mezd – xls</w:t>
      </w:r>
    </w:p>
    <w:p w14:paraId="2FBA916F" w14:textId="77777777" w:rsidR="000E0A72" w:rsidRPr="00027FFC" w:rsidRDefault="000E0A72" w:rsidP="000E0A72">
      <w:pPr>
        <w:pStyle w:val="Odstavecseseznamem"/>
        <w:numPr>
          <w:ilvl w:val="0"/>
          <w:numId w:val="7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PowerBI – reporting dat do MS Power BI (WS)</w:t>
      </w:r>
    </w:p>
    <w:p w14:paraId="6A05A809" w14:textId="77777777" w:rsidR="00027FFC" w:rsidRPr="00027FFC" w:rsidRDefault="00027FFC" w:rsidP="6A874F4C">
      <w:pPr>
        <w:rPr>
          <w:rFonts w:ascii="Cambria" w:hAnsi="Cambria"/>
          <w:i/>
          <w:iCs/>
          <w:sz w:val="20"/>
          <w:szCs w:val="20"/>
        </w:rPr>
      </w:pPr>
    </w:p>
    <w:p w14:paraId="5450657F" w14:textId="77777777" w:rsidR="00027FFC" w:rsidRPr="00027FFC" w:rsidRDefault="6A874F4C" w:rsidP="00027FFC">
      <w:pPr>
        <w:pStyle w:val="Nadpis2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color w:val="auto"/>
          <w:sz w:val="20"/>
          <w:szCs w:val="20"/>
        </w:rPr>
        <w:t>Ostatní požadavky zadavatele</w:t>
      </w:r>
    </w:p>
    <w:p w14:paraId="3D379357" w14:textId="77777777" w:rsidR="00027FFC" w:rsidRPr="00027FFC" w:rsidRDefault="6A874F4C" w:rsidP="6A874F4C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Všechna chybová hlášení produkovaná systémem musí být srozumitelná tak, aby uživatelé mohli rozhodnout, jak chybu opraví, nebo zda proces zruší.</w:t>
      </w:r>
    </w:p>
    <w:p w14:paraId="61FBE191" w14:textId="77777777" w:rsidR="00027FFC" w:rsidRPr="00027FFC" w:rsidRDefault="6A874F4C" w:rsidP="6A874F4C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Pravidla a chování uživatelského rozhraní systému jsou konzistentní v celém systému (např. rozmístění panelů nástrojů v oknech či příkazů v menu).</w:t>
      </w:r>
    </w:p>
    <w:p w14:paraId="32187FD4" w14:textId="5078CBA9" w:rsidR="780946A5" w:rsidRPr="00212391" w:rsidRDefault="6A874F4C" w:rsidP="6A874F4C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  <w:r w:rsidRPr="6A874F4C">
        <w:rPr>
          <w:rFonts w:ascii="Cambria" w:hAnsi="Cambria"/>
          <w:i/>
          <w:iCs/>
          <w:sz w:val="20"/>
          <w:szCs w:val="20"/>
        </w:rPr>
        <w:t>Veškeré komponenty EIS, které vyžadují pořízení licence, budou součástí dodávky této VZ včetně jejich podpory po celou dobu užívání EIS.</w:t>
      </w:r>
    </w:p>
    <w:p w14:paraId="4529E770" w14:textId="2D5DFEB8" w:rsidR="00212391" w:rsidRDefault="00212391" w:rsidP="00212391">
      <w:pPr>
        <w:spacing w:before="120" w:after="0" w:line="240" w:lineRule="auto"/>
        <w:jc w:val="both"/>
        <w:rPr>
          <w:rFonts w:ascii="Cambria" w:hAnsi="Cambria"/>
          <w:i/>
          <w:iCs/>
          <w:color w:val="000000" w:themeColor="text1"/>
          <w:sz w:val="20"/>
          <w:szCs w:val="20"/>
        </w:rPr>
      </w:pPr>
    </w:p>
    <w:sectPr w:rsidR="002123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3B364" w14:textId="77777777" w:rsidR="007D73D1" w:rsidRDefault="007D73D1" w:rsidP="002B5193">
      <w:pPr>
        <w:spacing w:after="0" w:line="240" w:lineRule="auto"/>
      </w:pPr>
      <w:r>
        <w:separator/>
      </w:r>
    </w:p>
  </w:endnote>
  <w:endnote w:type="continuationSeparator" w:id="0">
    <w:p w14:paraId="7DAF8B76" w14:textId="77777777" w:rsidR="007D73D1" w:rsidRDefault="007D73D1" w:rsidP="002B5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3176071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32EAA63" w14:textId="7023F1A0" w:rsidR="005F734A" w:rsidRPr="00406FD6" w:rsidRDefault="005F734A" w:rsidP="00406FD6">
            <w:pPr>
              <w:pStyle w:val="Zpa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D6">
              <w:rPr>
                <w:rFonts w:ascii="Times New Roman" w:hAnsi="Times New Roman" w:cs="Times New Roman"/>
                <w:sz w:val="20"/>
                <w:szCs w:val="20"/>
              </w:rPr>
              <w:t xml:space="preserve">Stránka </w:t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B52F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406FD6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B52F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406FD6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061E4C" w14:textId="77777777" w:rsidR="005F734A" w:rsidRDefault="005F73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9EDF2" w14:textId="77777777" w:rsidR="007D73D1" w:rsidRDefault="007D73D1" w:rsidP="002B5193">
      <w:pPr>
        <w:spacing w:after="0" w:line="240" w:lineRule="auto"/>
      </w:pPr>
      <w:r>
        <w:separator/>
      </w:r>
    </w:p>
  </w:footnote>
  <w:footnote w:type="continuationSeparator" w:id="0">
    <w:p w14:paraId="771F91E2" w14:textId="77777777" w:rsidR="007D73D1" w:rsidRDefault="007D73D1" w:rsidP="002B5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08F20CE4" w:rsidR="005F734A" w:rsidRPr="002B5193" w:rsidRDefault="007A3488" w:rsidP="002B5193">
    <w:pPr>
      <w:pStyle w:val="Zhlav"/>
      <w:rPr>
        <w:rFonts w:ascii="Times New Roman" w:hAnsi="Times New Roman" w:cs="Times New Roman"/>
        <w:sz w:val="20"/>
        <w:szCs w:val="20"/>
      </w:rPr>
    </w:pPr>
    <w:r>
      <w:rPr>
        <w:noProof/>
        <w:lang w:eastAsia="cs-CZ"/>
      </w:rPr>
      <w:drawing>
        <wp:inline distT="0" distB="0" distL="0" distR="0" wp14:anchorId="6E4AE012" wp14:editId="4982FBAA">
          <wp:extent cx="1645920" cy="1152525"/>
          <wp:effectExtent l="0" t="0" r="0" b="952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1152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7A3488">
      <w:rPr>
        <w:rFonts w:ascii="Times New Roman" w:hAnsi="Times New Roman" w:cs="Times New Roman"/>
        <w:i/>
        <w:sz w:val="20"/>
        <w:szCs w:val="20"/>
      </w:rPr>
      <w:t>Příloha č. 7</w:t>
    </w:r>
  </w:p>
  <w:p w14:paraId="4B94D5A5" w14:textId="77777777" w:rsidR="005F734A" w:rsidRDefault="005F734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E6362"/>
    <w:multiLevelType w:val="hybridMultilevel"/>
    <w:tmpl w:val="F27AC3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AB1A76E4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0325F"/>
    <w:multiLevelType w:val="hybridMultilevel"/>
    <w:tmpl w:val="645ED456"/>
    <w:lvl w:ilvl="0" w:tplc="330E2A70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2B5220DB"/>
    <w:multiLevelType w:val="hybridMultilevel"/>
    <w:tmpl w:val="744E43A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8444D"/>
    <w:multiLevelType w:val="hybridMultilevel"/>
    <w:tmpl w:val="9BDEFA4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E2A11"/>
    <w:multiLevelType w:val="hybridMultilevel"/>
    <w:tmpl w:val="93686C3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70FB3"/>
    <w:multiLevelType w:val="hybridMultilevel"/>
    <w:tmpl w:val="DD88277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F765E"/>
    <w:multiLevelType w:val="multilevel"/>
    <w:tmpl w:val="63F4074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6AF4532"/>
    <w:multiLevelType w:val="hybridMultilevel"/>
    <w:tmpl w:val="95A690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2C3A"/>
    <w:multiLevelType w:val="hybridMultilevel"/>
    <w:tmpl w:val="871472D0"/>
    <w:lvl w:ilvl="0" w:tplc="FA88F6E0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 w15:restartNumberingAfterBreak="0">
    <w:nsid w:val="6B4A35BB"/>
    <w:multiLevelType w:val="hybridMultilevel"/>
    <w:tmpl w:val="F27AC3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AB1A76E4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F2766"/>
    <w:multiLevelType w:val="hybridMultilevel"/>
    <w:tmpl w:val="F27AC3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AB1A76E4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10"/>
  </w:num>
  <w:num w:numId="10">
    <w:abstractNumId w:val="1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8BA"/>
    <w:rsid w:val="00016D2F"/>
    <w:rsid w:val="00027FFC"/>
    <w:rsid w:val="00071BF9"/>
    <w:rsid w:val="0007278B"/>
    <w:rsid w:val="00076F26"/>
    <w:rsid w:val="000E0A72"/>
    <w:rsid w:val="001041FE"/>
    <w:rsid w:val="0011349E"/>
    <w:rsid w:val="001572EB"/>
    <w:rsid w:val="00166EC3"/>
    <w:rsid w:val="0017642A"/>
    <w:rsid w:val="00180945"/>
    <w:rsid w:val="00185F89"/>
    <w:rsid w:val="00197652"/>
    <w:rsid w:val="001A2ED4"/>
    <w:rsid w:val="00212391"/>
    <w:rsid w:val="002B5193"/>
    <w:rsid w:val="003148BA"/>
    <w:rsid w:val="00375713"/>
    <w:rsid w:val="00406FD6"/>
    <w:rsid w:val="00407B1C"/>
    <w:rsid w:val="00443A8D"/>
    <w:rsid w:val="00481890"/>
    <w:rsid w:val="004907C5"/>
    <w:rsid w:val="00502B62"/>
    <w:rsid w:val="005F734A"/>
    <w:rsid w:val="0068514C"/>
    <w:rsid w:val="00734735"/>
    <w:rsid w:val="007A3488"/>
    <w:rsid w:val="007D73D1"/>
    <w:rsid w:val="007E3886"/>
    <w:rsid w:val="008167A7"/>
    <w:rsid w:val="00860763"/>
    <w:rsid w:val="00870515"/>
    <w:rsid w:val="00885121"/>
    <w:rsid w:val="008F56DF"/>
    <w:rsid w:val="00986AF6"/>
    <w:rsid w:val="00A506DE"/>
    <w:rsid w:val="00A669B0"/>
    <w:rsid w:val="00AB59BA"/>
    <w:rsid w:val="00AD02C3"/>
    <w:rsid w:val="00B02B9E"/>
    <w:rsid w:val="00B26650"/>
    <w:rsid w:val="00B955CF"/>
    <w:rsid w:val="00BA1B21"/>
    <w:rsid w:val="00C2288F"/>
    <w:rsid w:val="00C23757"/>
    <w:rsid w:val="00CE79DA"/>
    <w:rsid w:val="00D055B1"/>
    <w:rsid w:val="00DA7F60"/>
    <w:rsid w:val="00DB52FD"/>
    <w:rsid w:val="00DE366B"/>
    <w:rsid w:val="00E25D62"/>
    <w:rsid w:val="0FAF8450"/>
    <w:rsid w:val="2504FF1C"/>
    <w:rsid w:val="409083B8"/>
    <w:rsid w:val="43AE206D"/>
    <w:rsid w:val="57328052"/>
    <w:rsid w:val="5ECDD4D5"/>
    <w:rsid w:val="6A874F4C"/>
    <w:rsid w:val="780946A5"/>
    <w:rsid w:val="7BC7D6A1"/>
    <w:rsid w:val="7CC2C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67474C"/>
  <w15:chartTrackingRefBased/>
  <w15:docId w15:val="{F9ECFE60-1BF7-416B-9C66-8B2F05C2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27FFC"/>
    <w:pPr>
      <w:keepNext/>
      <w:keepLines/>
      <w:pageBreakBefore/>
      <w:numPr>
        <w:numId w:val="1"/>
      </w:numPr>
      <w:pBdr>
        <w:top w:val="single" w:sz="6" w:space="6" w:color="9CC2E5" w:themeColor="accent1" w:themeTint="99"/>
        <w:bottom w:val="single" w:sz="6" w:space="6" w:color="9CC2E5" w:themeColor="accent1" w:themeTint="99"/>
      </w:pBdr>
      <w:tabs>
        <w:tab w:val="left" w:pos="426"/>
      </w:tabs>
      <w:spacing w:before="240" w:after="0" w:line="240" w:lineRule="auto"/>
      <w:jc w:val="both"/>
      <w:outlineLvl w:val="0"/>
    </w:pPr>
    <w:rPr>
      <w:rFonts w:ascii="Garamond" w:eastAsia="Times New Roman" w:hAnsi="Garamond" w:cs="Times New Roman"/>
      <w:b/>
      <w:smallCaps/>
      <w:spacing w:val="20"/>
      <w:sz w:val="36"/>
      <w:szCs w:val="18"/>
      <w:lang w:eastAsia="cs-CZ"/>
    </w:rPr>
  </w:style>
  <w:style w:type="paragraph" w:styleId="Nadpis2">
    <w:name w:val="heading 2"/>
    <w:aliases w:val="Heading 2 - Nadpis 2. úrovně"/>
    <w:basedOn w:val="Normln"/>
    <w:next w:val="Normln"/>
    <w:link w:val="Nadpis2Char"/>
    <w:qFormat/>
    <w:rsid w:val="00027FFC"/>
    <w:pPr>
      <w:keepNext/>
      <w:keepLines/>
      <w:numPr>
        <w:ilvl w:val="1"/>
        <w:numId w:val="1"/>
      </w:numPr>
      <w:tabs>
        <w:tab w:val="left" w:pos="567"/>
      </w:tabs>
      <w:spacing w:before="240" w:after="0" w:line="240" w:lineRule="auto"/>
      <w:jc w:val="both"/>
      <w:outlineLvl w:val="1"/>
    </w:pPr>
    <w:rPr>
      <w:rFonts w:ascii="Garamond" w:eastAsia="Times New Roman" w:hAnsi="Garamond" w:cs="Times New Roman"/>
      <w:b/>
      <w:smallCaps/>
      <w:color w:val="1F4E79" w:themeColor="accent1" w:themeShade="80"/>
      <w:spacing w:val="10"/>
      <w:sz w:val="28"/>
      <w:szCs w:val="18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"/>
    <w:basedOn w:val="Normln"/>
    <w:next w:val="Normln"/>
    <w:link w:val="Nadpis3Char"/>
    <w:qFormat/>
    <w:rsid w:val="00027FFC"/>
    <w:pPr>
      <w:keepNext/>
      <w:keepLines/>
      <w:numPr>
        <w:ilvl w:val="2"/>
        <w:numId w:val="1"/>
      </w:numPr>
      <w:tabs>
        <w:tab w:val="left" w:pos="567"/>
      </w:tabs>
      <w:spacing w:before="240" w:after="0" w:line="240" w:lineRule="auto"/>
      <w:jc w:val="both"/>
      <w:outlineLvl w:val="2"/>
    </w:pPr>
    <w:rPr>
      <w:rFonts w:ascii="Garamond" w:eastAsia="Times New Roman" w:hAnsi="Garamond" w:cs="Times New Roman"/>
      <w:b/>
      <w:smallCaps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27FFC"/>
    <w:pPr>
      <w:keepNext/>
      <w:keepLines/>
      <w:numPr>
        <w:ilvl w:val="3"/>
        <w:numId w:val="1"/>
      </w:numPr>
      <w:tabs>
        <w:tab w:val="left" w:pos="709"/>
      </w:tabs>
      <w:spacing w:before="120" w:after="0" w:line="240" w:lineRule="auto"/>
      <w:jc w:val="both"/>
      <w:outlineLvl w:val="3"/>
    </w:pPr>
    <w:rPr>
      <w:rFonts w:ascii="Garamond" w:eastAsia="Times New Roman" w:hAnsi="Garamond" w:cs="Times New Roman"/>
      <w:b/>
      <w:i/>
      <w:spacing w:val="5"/>
      <w:kern w:val="20"/>
      <w:sz w:val="20"/>
      <w:szCs w:val="24"/>
      <w:lang w:eastAsia="cs-CZ"/>
    </w:rPr>
  </w:style>
  <w:style w:type="paragraph" w:styleId="Nadpis5">
    <w:name w:val="heading 5"/>
    <w:basedOn w:val="Normln"/>
    <w:next w:val="Zkladntext"/>
    <w:link w:val="Nadpis5Char"/>
    <w:qFormat/>
    <w:rsid w:val="00027FFC"/>
    <w:pPr>
      <w:keepNext/>
      <w:keepLines/>
      <w:numPr>
        <w:ilvl w:val="4"/>
        <w:numId w:val="1"/>
      </w:numPr>
      <w:spacing w:before="120" w:after="0" w:line="240" w:lineRule="atLeast"/>
      <w:jc w:val="both"/>
      <w:outlineLvl w:val="4"/>
    </w:pPr>
    <w:rPr>
      <w:rFonts w:ascii="Garamond" w:eastAsia="Times New Roman" w:hAnsi="Garamond" w:cs="Times New Roman"/>
      <w:b/>
      <w:kern w:val="20"/>
      <w:lang w:eastAsia="cs-CZ"/>
    </w:rPr>
  </w:style>
  <w:style w:type="paragraph" w:styleId="Nadpis6">
    <w:name w:val="heading 6"/>
    <w:basedOn w:val="Normln"/>
    <w:next w:val="Zkladntext"/>
    <w:link w:val="Nadpis6Char"/>
    <w:qFormat/>
    <w:rsid w:val="00027FFC"/>
    <w:pPr>
      <w:keepNext/>
      <w:keepLines/>
      <w:numPr>
        <w:ilvl w:val="5"/>
        <w:numId w:val="1"/>
      </w:numPr>
      <w:spacing w:before="120" w:after="0" w:line="240" w:lineRule="atLeast"/>
      <w:jc w:val="both"/>
      <w:outlineLvl w:val="5"/>
    </w:pPr>
    <w:rPr>
      <w:rFonts w:ascii="Garamond" w:eastAsia="Times New Roman" w:hAnsi="Garamond" w:cs="Times New Roman"/>
      <w:i/>
      <w:spacing w:val="5"/>
      <w:kern w:val="20"/>
      <w:lang w:eastAsia="cs-CZ"/>
    </w:rPr>
  </w:style>
  <w:style w:type="paragraph" w:styleId="Nadpis7">
    <w:name w:val="heading 7"/>
    <w:basedOn w:val="Normln"/>
    <w:next w:val="Zkladntext"/>
    <w:link w:val="Nadpis7Char"/>
    <w:qFormat/>
    <w:rsid w:val="00027FFC"/>
    <w:pPr>
      <w:keepNext/>
      <w:keepLines/>
      <w:numPr>
        <w:ilvl w:val="6"/>
        <w:numId w:val="1"/>
      </w:numPr>
      <w:spacing w:before="120" w:after="0" w:line="240" w:lineRule="atLeast"/>
      <w:jc w:val="both"/>
      <w:outlineLvl w:val="6"/>
    </w:pPr>
    <w:rPr>
      <w:rFonts w:ascii="Garamond" w:eastAsia="Times New Roman" w:hAnsi="Garamond" w:cs="Times New Roman"/>
      <w:caps/>
      <w:kern w:val="20"/>
      <w:sz w:val="18"/>
      <w:szCs w:val="18"/>
      <w:lang w:eastAsia="cs-CZ"/>
    </w:rPr>
  </w:style>
  <w:style w:type="paragraph" w:styleId="Nadpis8">
    <w:name w:val="heading 8"/>
    <w:basedOn w:val="Normln"/>
    <w:next w:val="Zkladntext"/>
    <w:link w:val="Nadpis8Char"/>
    <w:qFormat/>
    <w:rsid w:val="00027FFC"/>
    <w:pPr>
      <w:keepNext/>
      <w:keepLines/>
      <w:numPr>
        <w:ilvl w:val="7"/>
        <w:numId w:val="1"/>
      </w:numPr>
      <w:spacing w:before="120" w:after="0" w:line="240" w:lineRule="atLeast"/>
      <w:jc w:val="both"/>
      <w:outlineLvl w:val="7"/>
    </w:pPr>
    <w:rPr>
      <w:rFonts w:ascii="Garamond" w:eastAsia="Times New Roman" w:hAnsi="Garamond" w:cs="Times New Roman"/>
      <w:i/>
      <w:spacing w:val="5"/>
      <w:kern w:val="20"/>
      <w:lang w:eastAsia="cs-CZ"/>
    </w:rPr>
  </w:style>
  <w:style w:type="paragraph" w:styleId="Nadpis9">
    <w:name w:val="heading 9"/>
    <w:basedOn w:val="Normln"/>
    <w:next w:val="Zkladntext"/>
    <w:link w:val="Nadpis9Char"/>
    <w:qFormat/>
    <w:rsid w:val="00027FFC"/>
    <w:pPr>
      <w:keepNext/>
      <w:keepLines/>
      <w:numPr>
        <w:ilvl w:val="8"/>
        <w:numId w:val="1"/>
      </w:numPr>
      <w:spacing w:before="120" w:after="0" w:line="240" w:lineRule="atLeast"/>
      <w:jc w:val="both"/>
      <w:outlineLvl w:val="8"/>
    </w:pPr>
    <w:rPr>
      <w:rFonts w:ascii="Garamond" w:eastAsia="Times New Roman" w:hAnsi="Garamond" w:cs="Times New Roman"/>
      <w:spacing w:val="-5"/>
      <w:kern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3148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16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7A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B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193"/>
  </w:style>
  <w:style w:type="paragraph" w:styleId="Zpat">
    <w:name w:val="footer"/>
    <w:basedOn w:val="Normln"/>
    <w:link w:val="ZpatChar"/>
    <w:uiPriority w:val="99"/>
    <w:unhideWhenUsed/>
    <w:rsid w:val="002B5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193"/>
  </w:style>
  <w:style w:type="table" w:styleId="Mkatabulky">
    <w:name w:val="Table Grid"/>
    <w:basedOn w:val="Normlntabulka"/>
    <w:uiPriority w:val="39"/>
    <w:rsid w:val="0010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027FFC"/>
    <w:rPr>
      <w:rFonts w:ascii="Garamond" w:eastAsia="Times New Roman" w:hAnsi="Garamond" w:cs="Times New Roman"/>
      <w:b/>
      <w:smallCaps/>
      <w:spacing w:val="20"/>
      <w:sz w:val="36"/>
      <w:szCs w:val="18"/>
      <w:lang w:eastAsia="cs-CZ"/>
    </w:rPr>
  </w:style>
  <w:style w:type="character" w:customStyle="1" w:styleId="Nadpis2Char">
    <w:name w:val="Nadpis 2 Char"/>
    <w:aliases w:val="Heading 2 - Nadpis 2. úrovně Char"/>
    <w:basedOn w:val="Standardnpsmoodstavce"/>
    <w:link w:val="Nadpis2"/>
    <w:rsid w:val="00027FFC"/>
    <w:rPr>
      <w:rFonts w:ascii="Garamond" w:eastAsia="Times New Roman" w:hAnsi="Garamond" w:cs="Times New Roman"/>
      <w:b/>
      <w:smallCaps/>
      <w:color w:val="1F4E79" w:themeColor="accent1" w:themeShade="80"/>
      <w:spacing w:val="10"/>
      <w:sz w:val="28"/>
      <w:szCs w:val="18"/>
      <w:lang w:eastAsia="cs-CZ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027FFC"/>
    <w:rPr>
      <w:rFonts w:ascii="Garamond" w:eastAsia="Times New Roman" w:hAnsi="Garamond" w:cs="Times New Roman"/>
      <w:b/>
      <w:smallCaps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27FFC"/>
    <w:rPr>
      <w:rFonts w:ascii="Garamond" w:eastAsia="Times New Roman" w:hAnsi="Garamond" w:cs="Times New Roman"/>
      <w:b/>
      <w:i/>
      <w:spacing w:val="5"/>
      <w:kern w:val="20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027FFC"/>
    <w:rPr>
      <w:rFonts w:ascii="Garamond" w:eastAsia="Times New Roman" w:hAnsi="Garamond" w:cs="Times New Roman"/>
      <w:b/>
      <w:kern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27FFC"/>
    <w:rPr>
      <w:rFonts w:ascii="Garamond" w:eastAsia="Times New Roman" w:hAnsi="Garamond" w:cs="Times New Roman"/>
      <w:i/>
      <w:spacing w:val="5"/>
      <w:kern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27FFC"/>
    <w:rPr>
      <w:rFonts w:ascii="Garamond" w:eastAsia="Times New Roman" w:hAnsi="Garamond" w:cs="Times New Roman"/>
      <w:caps/>
      <w:kern w:val="20"/>
      <w:sz w:val="18"/>
      <w:szCs w:val="18"/>
      <w:lang w:eastAsia="cs-CZ"/>
    </w:rPr>
  </w:style>
  <w:style w:type="character" w:customStyle="1" w:styleId="Nadpis8Char">
    <w:name w:val="Nadpis 8 Char"/>
    <w:basedOn w:val="Standardnpsmoodstavce"/>
    <w:link w:val="Nadpis8"/>
    <w:rsid w:val="00027FFC"/>
    <w:rPr>
      <w:rFonts w:ascii="Garamond" w:eastAsia="Times New Roman" w:hAnsi="Garamond" w:cs="Times New Roman"/>
      <w:i/>
      <w:spacing w:val="5"/>
      <w:kern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027FFC"/>
    <w:rPr>
      <w:rFonts w:ascii="Garamond" w:eastAsia="Times New Roman" w:hAnsi="Garamond" w:cs="Times New Roman"/>
      <w:spacing w:val="-5"/>
      <w:kern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27F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7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D980-22EC-44C4-BE9E-24F2602F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5420</Characters>
  <Application>Microsoft Office Word</Application>
  <DocSecurity>4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Klimeš</dc:creator>
  <cp:keywords/>
  <dc:description/>
  <cp:lastModifiedBy>Uživatel systému Windows</cp:lastModifiedBy>
  <cp:revision>2</cp:revision>
  <cp:lastPrinted>2019-06-11T07:33:00Z</cp:lastPrinted>
  <dcterms:created xsi:type="dcterms:W3CDTF">2019-12-30T13:41:00Z</dcterms:created>
  <dcterms:modified xsi:type="dcterms:W3CDTF">2019-12-30T13:41:00Z</dcterms:modified>
</cp:coreProperties>
</file>